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2CC82" w14:textId="53C95E58" w:rsidR="00C33731" w:rsidRPr="001675F7" w:rsidRDefault="00637558" w:rsidP="00637558">
      <w:pPr>
        <w:pStyle w:val="GlAlnt"/>
        <w:rPr>
          <w:rFonts w:ascii="Arial" w:hAnsi="Arial" w:cs="Arial"/>
          <w:b/>
          <w:sz w:val="44"/>
        </w:rPr>
      </w:pPr>
      <w:r w:rsidRPr="001675F7">
        <w:rPr>
          <w:rFonts w:ascii="Arial" w:hAnsi="Arial" w:cs="Arial"/>
          <w:b/>
          <w:sz w:val="44"/>
        </w:rPr>
        <w:t>POLİKLİNİK HİZMETLERİNDE ÖNCELİK SIRASI</w:t>
      </w:r>
    </w:p>
    <w:p w14:paraId="79224F90" w14:textId="0A005E59" w:rsidR="00C33731" w:rsidRPr="00342147" w:rsidRDefault="00C33731" w:rsidP="00342147">
      <w:pPr>
        <w:pStyle w:val="ListeParagraf"/>
        <w:numPr>
          <w:ilvl w:val="0"/>
          <w:numId w:val="2"/>
        </w:numPr>
        <w:spacing w:before="120"/>
        <w:ind w:left="992" w:hanging="635"/>
        <w:contextualSpacing w:val="0"/>
        <w:jc w:val="both"/>
        <w:rPr>
          <w:rFonts w:ascii="Arial" w:hAnsi="Arial" w:cs="Arial"/>
          <w:sz w:val="30"/>
          <w:szCs w:val="30"/>
        </w:rPr>
      </w:pPr>
      <w:r w:rsidRPr="00342147">
        <w:rPr>
          <w:rFonts w:ascii="Arial" w:hAnsi="Arial" w:cs="Arial"/>
          <w:b/>
          <w:sz w:val="30"/>
          <w:szCs w:val="30"/>
        </w:rPr>
        <w:t>Acil vakalar</w:t>
      </w:r>
      <w:r w:rsidRPr="00342147">
        <w:rPr>
          <w:rFonts w:ascii="Arial" w:hAnsi="Arial" w:cs="Arial"/>
          <w:sz w:val="30"/>
          <w:szCs w:val="30"/>
        </w:rPr>
        <w:t xml:space="preserve"> (Ani gelişen hastalık, kaza, yaralanma ve benzeri durumlar ile ivedilikle tıbbi müdahale yapılması gerektiğine hekim tarafından karar verilen vakalar),</w:t>
      </w:r>
    </w:p>
    <w:p w14:paraId="34533682" w14:textId="232E0EE0" w:rsidR="00C33731" w:rsidRPr="00342147" w:rsidRDefault="00C33731" w:rsidP="00342147">
      <w:pPr>
        <w:pStyle w:val="ListeParagraf"/>
        <w:numPr>
          <w:ilvl w:val="0"/>
          <w:numId w:val="2"/>
        </w:numPr>
        <w:spacing w:before="120"/>
        <w:ind w:left="992" w:hanging="635"/>
        <w:contextualSpacing w:val="0"/>
        <w:jc w:val="both"/>
        <w:rPr>
          <w:rFonts w:ascii="Arial" w:hAnsi="Arial" w:cs="Arial"/>
          <w:sz w:val="30"/>
          <w:szCs w:val="30"/>
        </w:rPr>
      </w:pPr>
      <w:r w:rsidRPr="00342147">
        <w:rPr>
          <w:rFonts w:ascii="Arial" w:hAnsi="Arial" w:cs="Arial"/>
          <w:b/>
          <w:sz w:val="30"/>
          <w:szCs w:val="30"/>
        </w:rPr>
        <w:t>Engelli hastalar</w:t>
      </w:r>
      <w:r w:rsidRPr="00342147">
        <w:rPr>
          <w:rFonts w:ascii="Arial" w:hAnsi="Arial" w:cs="Arial"/>
          <w:sz w:val="30"/>
          <w:szCs w:val="30"/>
        </w:rPr>
        <w:t>,</w:t>
      </w:r>
    </w:p>
    <w:p w14:paraId="775EE1FB" w14:textId="6BACCBE9" w:rsidR="00C33731" w:rsidRPr="00342147" w:rsidRDefault="00C33731" w:rsidP="00342147">
      <w:pPr>
        <w:pStyle w:val="ListeParagraf"/>
        <w:numPr>
          <w:ilvl w:val="0"/>
          <w:numId w:val="2"/>
        </w:numPr>
        <w:spacing w:before="120"/>
        <w:ind w:left="992" w:hanging="635"/>
        <w:contextualSpacing w:val="0"/>
        <w:jc w:val="both"/>
        <w:rPr>
          <w:rFonts w:ascii="Arial" w:hAnsi="Arial" w:cs="Arial"/>
          <w:sz w:val="30"/>
          <w:szCs w:val="30"/>
        </w:rPr>
      </w:pPr>
      <w:r w:rsidRPr="00342147">
        <w:rPr>
          <w:rFonts w:ascii="Arial" w:hAnsi="Arial" w:cs="Arial"/>
          <w:b/>
          <w:sz w:val="30"/>
          <w:szCs w:val="30"/>
        </w:rPr>
        <w:t>Hamileler</w:t>
      </w:r>
      <w:r w:rsidRPr="00342147">
        <w:rPr>
          <w:rFonts w:ascii="Arial" w:hAnsi="Arial" w:cs="Arial"/>
          <w:sz w:val="30"/>
          <w:szCs w:val="30"/>
        </w:rPr>
        <w:t>,</w:t>
      </w:r>
    </w:p>
    <w:p w14:paraId="0E104256" w14:textId="1518ACF5" w:rsidR="00C33731" w:rsidRPr="00342147" w:rsidRDefault="00C33731" w:rsidP="00342147">
      <w:pPr>
        <w:pStyle w:val="ListeParagraf"/>
        <w:numPr>
          <w:ilvl w:val="0"/>
          <w:numId w:val="2"/>
        </w:numPr>
        <w:spacing w:before="120"/>
        <w:ind w:left="992" w:hanging="635"/>
        <w:contextualSpacing w:val="0"/>
        <w:jc w:val="both"/>
        <w:rPr>
          <w:rFonts w:ascii="Arial" w:hAnsi="Arial" w:cs="Arial"/>
          <w:sz w:val="30"/>
          <w:szCs w:val="30"/>
        </w:rPr>
      </w:pPr>
      <w:r w:rsidRPr="00342147">
        <w:rPr>
          <w:rFonts w:ascii="Arial" w:hAnsi="Arial" w:cs="Arial"/>
          <w:b/>
          <w:sz w:val="30"/>
          <w:szCs w:val="30"/>
        </w:rPr>
        <w:t>65 yaş üstü hastalar</w:t>
      </w:r>
      <w:r w:rsidRPr="00342147">
        <w:rPr>
          <w:rFonts w:ascii="Arial" w:hAnsi="Arial" w:cs="Arial"/>
          <w:sz w:val="30"/>
          <w:szCs w:val="30"/>
        </w:rPr>
        <w:t>,</w:t>
      </w:r>
    </w:p>
    <w:p w14:paraId="20CDA34D" w14:textId="30A9CDC0" w:rsidR="00C33731" w:rsidRPr="00342147" w:rsidRDefault="00C33731" w:rsidP="00342147">
      <w:pPr>
        <w:pStyle w:val="ListeParagraf"/>
        <w:numPr>
          <w:ilvl w:val="0"/>
          <w:numId w:val="2"/>
        </w:numPr>
        <w:spacing w:before="120"/>
        <w:ind w:left="992" w:hanging="635"/>
        <w:contextualSpacing w:val="0"/>
        <w:jc w:val="both"/>
        <w:rPr>
          <w:rFonts w:ascii="Arial" w:hAnsi="Arial" w:cs="Arial"/>
          <w:sz w:val="30"/>
          <w:szCs w:val="30"/>
        </w:rPr>
      </w:pPr>
      <w:r w:rsidRPr="00342147">
        <w:rPr>
          <w:rFonts w:ascii="Arial" w:hAnsi="Arial" w:cs="Arial"/>
          <w:b/>
          <w:sz w:val="30"/>
          <w:szCs w:val="30"/>
        </w:rPr>
        <w:t>Yedi yaşından küçük çocuklar</w:t>
      </w:r>
      <w:r w:rsidRPr="00342147">
        <w:rPr>
          <w:rFonts w:ascii="Arial" w:hAnsi="Arial" w:cs="Arial"/>
          <w:sz w:val="30"/>
          <w:szCs w:val="30"/>
        </w:rPr>
        <w:t>,</w:t>
      </w:r>
    </w:p>
    <w:p w14:paraId="0BFE9472" w14:textId="3D33F015" w:rsidR="00C33731" w:rsidRPr="00342147" w:rsidRDefault="00C33731" w:rsidP="00342147">
      <w:pPr>
        <w:pStyle w:val="ListeParagraf"/>
        <w:numPr>
          <w:ilvl w:val="0"/>
          <w:numId w:val="2"/>
        </w:numPr>
        <w:spacing w:before="120"/>
        <w:ind w:left="992" w:hanging="635"/>
        <w:contextualSpacing w:val="0"/>
        <w:jc w:val="both"/>
        <w:rPr>
          <w:rFonts w:ascii="Arial" w:hAnsi="Arial" w:cs="Arial"/>
          <w:sz w:val="30"/>
          <w:szCs w:val="30"/>
        </w:rPr>
      </w:pPr>
      <w:r w:rsidRPr="00342147">
        <w:rPr>
          <w:rFonts w:ascii="Arial" w:hAnsi="Arial" w:cs="Arial"/>
          <w:b/>
          <w:sz w:val="30"/>
          <w:szCs w:val="30"/>
        </w:rPr>
        <w:t>Harp ve vazife şehitlerinin dul ve yetimleri ile malûl ve gaziler ile aileleri</w:t>
      </w:r>
      <w:r w:rsidRPr="00342147">
        <w:rPr>
          <w:rFonts w:ascii="Arial" w:hAnsi="Arial" w:cs="Arial"/>
          <w:sz w:val="30"/>
          <w:szCs w:val="30"/>
        </w:rPr>
        <w:t>,</w:t>
      </w:r>
    </w:p>
    <w:p w14:paraId="40919A3A" w14:textId="42A30D07" w:rsidR="00C33731" w:rsidRPr="00342147" w:rsidRDefault="00C33731" w:rsidP="00342147">
      <w:pPr>
        <w:pStyle w:val="ListeParagraf"/>
        <w:numPr>
          <w:ilvl w:val="0"/>
          <w:numId w:val="2"/>
        </w:numPr>
        <w:spacing w:before="120"/>
        <w:ind w:left="992" w:hanging="635"/>
        <w:contextualSpacing w:val="0"/>
        <w:jc w:val="both"/>
        <w:rPr>
          <w:rFonts w:ascii="Arial" w:hAnsi="Arial" w:cs="Arial"/>
          <w:sz w:val="30"/>
          <w:szCs w:val="30"/>
        </w:rPr>
      </w:pPr>
      <w:r w:rsidRPr="00342147">
        <w:rPr>
          <w:rFonts w:ascii="Arial" w:hAnsi="Arial" w:cs="Arial"/>
          <w:sz w:val="30"/>
          <w:szCs w:val="30"/>
        </w:rPr>
        <w:t xml:space="preserve">669 sayılı Kanun Hükmünde Kararname (KHK) kapsamında </w:t>
      </w:r>
      <w:r w:rsidRPr="00342147">
        <w:rPr>
          <w:rFonts w:ascii="Arial" w:hAnsi="Arial" w:cs="Arial"/>
          <w:sz w:val="30"/>
          <w:szCs w:val="30"/>
          <w:u w:val="single"/>
        </w:rPr>
        <w:t>Türk Silahlı Kuvvetlerinden Sağlık Bakanlığımıza devredilen sağlık kuruluşlarında geçerli olmak üzere</w:t>
      </w:r>
      <w:r w:rsidRPr="00342147">
        <w:rPr>
          <w:rFonts w:ascii="Arial" w:hAnsi="Arial" w:cs="Arial"/>
          <w:sz w:val="30"/>
          <w:szCs w:val="30"/>
        </w:rPr>
        <w:t xml:space="preserve">, </w:t>
      </w:r>
      <w:r w:rsidRPr="00342147">
        <w:rPr>
          <w:rFonts w:ascii="Arial" w:hAnsi="Arial" w:cs="Arial"/>
          <w:b/>
          <w:sz w:val="30"/>
          <w:szCs w:val="30"/>
        </w:rPr>
        <w:t xml:space="preserve">öncelikli olarak garnizon dışında görev yapan Türk Silahlı Kuvvetleri (TSK), Jandarma Genel Komutanlığı ve Sahil Güvenlik Komutanlığı personeli ve bakmakla yükümlü olduğu kişiler ile emekli TSK, J. Gn. </w:t>
      </w:r>
      <w:proofErr w:type="spellStart"/>
      <w:r w:rsidRPr="00342147">
        <w:rPr>
          <w:rFonts w:ascii="Arial" w:hAnsi="Arial" w:cs="Arial"/>
          <w:b/>
          <w:sz w:val="30"/>
          <w:szCs w:val="30"/>
        </w:rPr>
        <w:t>K.lığı</w:t>
      </w:r>
      <w:proofErr w:type="spellEnd"/>
      <w:r w:rsidRPr="00342147">
        <w:rPr>
          <w:rFonts w:ascii="Arial" w:hAnsi="Arial" w:cs="Arial"/>
          <w:b/>
          <w:sz w:val="30"/>
          <w:szCs w:val="30"/>
        </w:rPr>
        <w:t xml:space="preserve"> ve </w:t>
      </w:r>
      <w:proofErr w:type="spellStart"/>
      <w:r w:rsidRPr="00342147">
        <w:rPr>
          <w:rFonts w:ascii="Arial" w:hAnsi="Arial" w:cs="Arial"/>
          <w:b/>
          <w:sz w:val="30"/>
          <w:szCs w:val="30"/>
        </w:rPr>
        <w:t>S.</w:t>
      </w:r>
      <w:proofErr w:type="gramStart"/>
      <w:r w:rsidRPr="00342147">
        <w:rPr>
          <w:rFonts w:ascii="Arial" w:hAnsi="Arial" w:cs="Arial"/>
          <w:b/>
          <w:sz w:val="30"/>
          <w:szCs w:val="30"/>
        </w:rPr>
        <w:t>G.K.lığı</w:t>
      </w:r>
      <w:proofErr w:type="spellEnd"/>
      <w:proofErr w:type="gramEnd"/>
      <w:r w:rsidRPr="00342147">
        <w:rPr>
          <w:rFonts w:ascii="Arial" w:hAnsi="Arial" w:cs="Arial"/>
          <w:b/>
          <w:sz w:val="30"/>
          <w:szCs w:val="30"/>
        </w:rPr>
        <w:t xml:space="preserve"> personeli ve bakmakla yükümlü olduğu kişiler</w:t>
      </w:r>
      <w:r w:rsidRPr="00342147">
        <w:rPr>
          <w:rFonts w:ascii="Arial" w:hAnsi="Arial" w:cs="Arial"/>
          <w:sz w:val="30"/>
          <w:szCs w:val="30"/>
        </w:rPr>
        <w:t>.</w:t>
      </w:r>
    </w:p>
    <w:p w14:paraId="2CD6817B" w14:textId="0FAC405F" w:rsidR="00C33731" w:rsidRPr="00342147" w:rsidRDefault="00C33731" w:rsidP="00342147">
      <w:pPr>
        <w:pStyle w:val="ListeParagraf"/>
        <w:numPr>
          <w:ilvl w:val="0"/>
          <w:numId w:val="2"/>
        </w:numPr>
        <w:spacing w:before="120"/>
        <w:ind w:left="992" w:hanging="635"/>
        <w:contextualSpacing w:val="0"/>
        <w:jc w:val="both"/>
        <w:rPr>
          <w:rFonts w:ascii="Arial" w:hAnsi="Arial" w:cs="Arial"/>
          <w:sz w:val="30"/>
          <w:szCs w:val="30"/>
        </w:rPr>
      </w:pPr>
      <w:r w:rsidRPr="00342147">
        <w:rPr>
          <w:rFonts w:ascii="Arial" w:hAnsi="Arial" w:cs="Arial"/>
          <w:sz w:val="30"/>
          <w:szCs w:val="30"/>
        </w:rPr>
        <w:t xml:space="preserve">5395 sayılı Çocuk Koruma Kanunu kapsamında </w:t>
      </w:r>
      <w:r w:rsidRPr="00342147">
        <w:rPr>
          <w:rFonts w:ascii="Arial" w:hAnsi="Arial" w:cs="Arial"/>
          <w:b/>
          <w:sz w:val="30"/>
          <w:szCs w:val="30"/>
        </w:rPr>
        <w:t>koruyucu ve destekleyici tedbir kararı olan çocuklar</w:t>
      </w:r>
      <w:r w:rsidRPr="00342147">
        <w:rPr>
          <w:rFonts w:ascii="Arial" w:hAnsi="Arial" w:cs="Arial"/>
          <w:sz w:val="30"/>
          <w:szCs w:val="30"/>
        </w:rPr>
        <w:t>,</w:t>
      </w:r>
    </w:p>
    <w:p w14:paraId="1CD5D64A" w14:textId="77777777" w:rsidR="00637558" w:rsidRPr="00342147" w:rsidRDefault="00C33731" w:rsidP="00342147">
      <w:pPr>
        <w:pStyle w:val="ListeParagraf"/>
        <w:numPr>
          <w:ilvl w:val="0"/>
          <w:numId w:val="2"/>
        </w:numPr>
        <w:spacing w:before="120"/>
        <w:ind w:left="992" w:hanging="635"/>
        <w:contextualSpacing w:val="0"/>
        <w:jc w:val="both"/>
        <w:rPr>
          <w:rFonts w:ascii="Arial" w:hAnsi="Arial" w:cs="Arial"/>
          <w:sz w:val="30"/>
          <w:szCs w:val="30"/>
        </w:rPr>
      </w:pPr>
      <w:r w:rsidRPr="00342147">
        <w:rPr>
          <w:rFonts w:ascii="Arial" w:hAnsi="Arial" w:cs="Arial"/>
          <w:sz w:val="30"/>
          <w:szCs w:val="30"/>
        </w:rPr>
        <w:t xml:space="preserve">6284 sayılı Ailenin Korunması ve Kadına Karşı Şiddetin Önlenmesine Dair Kanun kapsamında </w:t>
      </w:r>
      <w:r w:rsidRPr="00342147">
        <w:rPr>
          <w:rFonts w:ascii="Arial" w:hAnsi="Arial" w:cs="Arial"/>
          <w:b/>
          <w:sz w:val="30"/>
          <w:szCs w:val="30"/>
        </w:rPr>
        <w:t>hakkında koruyucu tedbir kararı olan ya da kadın konuk evinden hizmet alan kadın ve beraberindeki çocuklar</w:t>
      </w:r>
      <w:r w:rsidRPr="00342147">
        <w:rPr>
          <w:rFonts w:ascii="Arial" w:hAnsi="Arial" w:cs="Arial"/>
          <w:sz w:val="30"/>
          <w:szCs w:val="30"/>
        </w:rPr>
        <w:t>,</w:t>
      </w:r>
    </w:p>
    <w:p w14:paraId="63442B5C" w14:textId="40346D0B" w:rsidR="00637558" w:rsidRDefault="00C33731" w:rsidP="00342147">
      <w:pPr>
        <w:pStyle w:val="ListeParagraf"/>
        <w:numPr>
          <w:ilvl w:val="0"/>
          <w:numId w:val="2"/>
        </w:numPr>
        <w:pBdr>
          <w:bottom w:val="single" w:sz="6" w:space="1" w:color="auto"/>
        </w:pBdr>
        <w:spacing w:before="120"/>
        <w:ind w:left="992" w:hanging="635"/>
        <w:contextualSpacing w:val="0"/>
        <w:jc w:val="both"/>
        <w:rPr>
          <w:rFonts w:ascii="Arial" w:hAnsi="Arial" w:cs="Arial"/>
          <w:b/>
          <w:sz w:val="28"/>
          <w:szCs w:val="28"/>
        </w:rPr>
      </w:pPr>
      <w:r w:rsidRPr="00342147">
        <w:rPr>
          <w:rFonts w:ascii="Arial" w:hAnsi="Arial" w:cs="Arial"/>
          <w:b/>
          <w:sz w:val="30"/>
          <w:szCs w:val="30"/>
        </w:rPr>
        <w:t>Hâkimler ve Cumhuriyet Savcıları</w:t>
      </w:r>
      <w:r w:rsidRPr="00342147">
        <w:rPr>
          <w:rFonts w:ascii="Arial" w:hAnsi="Arial" w:cs="Arial"/>
          <w:b/>
          <w:sz w:val="28"/>
          <w:szCs w:val="28"/>
        </w:rPr>
        <w:t> </w:t>
      </w:r>
      <w:r w:rsidR="00342147">
        <w:rPr>
          <w:rFonts w:ascii="Arial" w:hAnsi="Arial" w:cs="Arial"/>
          <w:b/>
          <w:sz w:val="28"/>
          <w:szCs w:val="28"/>
        </w:rPr>
        <w:tab/>
      </w:r>
      <w:bookmarkStart w:id="0" w:name="_GoBack"/>
      <w:bookmarkEnd w:id="0"/>
      <w:r w:rsidR="001675F7">
        <w:rPr>
          <w:rFonts w:ascii="Arial" w:hAnsi="Arial" w:cs="Arial"/>
          <w:b/>
          <w:sz w:val="32"/>
          <w:szCs w:val="28"/>
        </w:rPr>
        <w:br/>
      </w:r>
    </w:p>
    <w:p w14:paraId="2A05A76F" w14:textId="053B16E4" w:rsidR="00637558" w:rsidRPr="00637558" w:rsidRDefault="00637558" w:rsidP="00637558">
      <w:pPr>
        <w:jc w:val="center"/>
        <w:rPr>
          <w:rFonts w:ascii="Arial" w:hAnsi="Arial" w:cs="Arial"/>
          <w:sz w:val="28"/>
          <w:szCs w:val="28"/>
        </w:rPr>
      </w:pPr>
      <w:r w:rsidRPr="00637558">
        <w:rPr>
          <w:rFonts w:ascii="Arial" w:hAnsi="Arial" w:cs="Arial"/>
          <w:b/>
          <w:bCs/>
          <w:sz w:val="28"/>
          <w:szCs w:val="28"/>
        </w:rPr>
        <w:t xml:space="preserve">Sağlık Bakanlığı Hukuk Hizmetleri Genel Müdürlüğünün 2024/11 sayılı Poliklinik Hizmetlerinde Öncelik Sırası Genelgesi gereğince </w:t>
      </w:r>
    </w:p>
    <w:p w14:paraId="2A41157D" w14:textId="77777777" w:rsidR="00117CAC" w:rsidRPr="00637558" w:rsidRDefault="00117CAC">
      <w:pPr>
        <w:rPr>
          <w:rFonts w:ascii="Arial" w:hAnsi="Arial" w:cs="Arial"/>
          <w:sz w:val="28"/>
          <w:szCs w:val="28"/>
        </w:rPr>
      </w:pPr>
    </w:p>
    <w:sectPr w:rsidR="00117CAC" w:rsidRPr="00637558" w:rsidSect="00342147">
      <w:pgSz w:w="16838" w:h="11906" w:orient="landscape" w:code="9"/>
      <w:pgMar w:top="426" w:right="1103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55A2D"/>
    <w:multiLevelType w:val="hybridMultilevel"/>
    <w:tmpl w:val="855245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F13E0"/>
    <w:multiLevelType w:val="hybridMultilevel"/>
    <w:tmpl w:val="51408D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48"/>
    <w:rsid w:val="00117CAC"/>
    <w:rsid w:val="001675F7"/>
    <w:rsid w:val="001C59C9"/>
    <w:rsid w:val="001E1651"/>
    <w:rsid w:val="00342147"/>
    <w:rsid w:val="005E53E7"/>
    <w:rsid w:val="00637558"/>
    <w:rsid w:val="006378A8"/>
    <w:rsid w:val="007E6CE2"/>
    <w:rsid w:val="00A07207"/>
    <w:rsid w:val="00C33731"/>
    <w:rsid w:val="00CD70C6"/>
    <w:rsid w:val="00D5392A"/>
    <w:rsid w:val="00E10948"/>
    <w:rsid w:val="00E2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017C4"/>
  <w15:chartTrackingRefBased/>
  <w15:docId w15:val="{8F619425-A857-4BE4-A0E4-1CFAFB64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558"/>
  </w:style>
  <w:style w:type="paragraph" w:styleId="Balk1">
    <w:name w:val="heading 1"/>
    <w:basedOn w:val="Normal"/>
    <w:next w:val="Normal"/>
    <w:link w:val="Balk1Char"/>
    <w:uiPriority w:val="9"/>
    <w:qFormat/>
    <w:rsid w:val="00E109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10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109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109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109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109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109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109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109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109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109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109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1094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1094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1094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1094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1094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1094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109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10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109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109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10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1094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1094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1094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109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1094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109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Kubilay Aktaş</dc:creator>
  <cp:keywords/>
  <dc:description/>
  <cp:lastModifiedBy>ABD</cp:lastModifiedBy>
  <cp:revision>5</cp:revision>
  <cp:lastPrinted>2025-09-09T10:21:00Z</cp:lastPrinted>
  <dcterms:created xsi:type="dcterms:W3CDTF">2025-09-09T10:17:00Z</dcterms:created>
  <dcterms:modified xsi:type="dcterms:W3CDTF">2025-09-09T11:29:00Z</dcterms:modified>
</cp:coreProperties>
</file>